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2B626C4F" w14:textId="5F47EE71" w:rsidR="00606DDF" w:rsidRPr="00B0783A" w:rsidRDefault="007846F9" w:rsidP="00B0783A">
      <w:pPr>
        <w:pStyle w:val="Titre10"/>
      </w:pPr>
      <w:r>
        <w:rPr>
          <w:noProof/>
          <w:lang w:eastAsia="fr-FR" w:bidi="ar-SA"/>
        </w:rPr>
        <mc:AlternateContent>
          <mc:Choice Requires="wps">
            <w:drawing>
              <wp:anchor distT="0" distB="0" distL="0" distR="0" simplePos="0" relativeHeight="251656704" behindDoc="0" locked="0" layoutInCell="1" allowOverlap="1" wp14:anchorId="68EA261C" wp14:editId="38D85BD6">
                <wp:simplePos x="0" y="0"/>
                <wp:positionH relativeFrom="page">
                  <wp:posOffset>3942080</wp:posOffset>
                </wp:positionH>
                <wp:positionV relativeFrom="page">
                  <wp:posOffset>1360805</wp:posOffset>
                </wp:positionV>
                <wp:extent cx="3059430" cy="229870"/>
                <wp:effectExtent l="0" t="0" r="0" b="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943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F052C8" w14:textId="19F82770" w:rsidR="00B86ED3" w:rsidRDefault="00094509">
                            <w:pPr>
                              <w:jc w:val="right"/>
                            </w:pPr>
                            <w:r>
                              <w:rPr>
                                <w:szCs w:val="20"/>
                              </w:rPr>
                              <w:t>07/07/2023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68EA261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10.4pt;margin-top:107.15pt;width:240.9pt;height:18.1pt;z-index: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" stroked="f">
                <v:textbox inset="0,0,0,0">
                  <w:txbxContent>
                    <w:p w14:paraId="7AF052C8" w14:textId="19F82770" w:rsidR="00B86ED3" w:rsidRDefault="00094509">
                      <w:pPr>
                        <w:jc w:val="right"/>
                      </w:pPr>
                      <w:r>
                        <w:rPr>
                          <w:szCs w:val="20"/>
                        </w:rPr>
                        <w:t>07/07/2023</w:t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 w:rsidR="00D62722">
        <w:rPr>
          <w:noProof/>
          <w:lang w:eastAsia="fr-FR" w:bidi="ar-SA"/>
        </w:rPr>
        <w:drawing>
          <wp:anchor distT="0" distB="0" distL="0" distR="0" simplePos="0" relativeHeight="251657728" behindDoc="0" locked="0" layoutInCell="1" allowOverlap="1" wp14:anchorId="79C4DCDB" wp14:editId="1059B1DA">
            <wp:simplePos x="0" y="0"/>
            <wp:positionH relativeFrom="page">
              <wp:posOffset>179705</wp:posOffset>
            </wp:positionH>
            <wp:positionV relativeFrom="page">
              <wp:posOffset>179705</wp:posOffset>
            </wp:positionV>
            <wp:extent cx="2159635" cy="1079500"/>
            <wp:effectExtent l="0" t="0" r="0" b="6350"/>
            <wp:wrapTopAndBottom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635" cy="1079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62722">
        <w:rPr>
          <w:noProof/>
          <w:lang w:eastAsia="fr-FR" w:bidi="ar-SA"/>
        </w:rPr>
        <w:drawing>
          <wp:anchor distT="0" distB="0" distL="0" distR="0" simplePos="0" relativeHeight="251658752" behindDoc="0" locked="0" layoutInCell="1" allowOverlap="1" wp14:anchorId="5C08A813" wp14:editId="5324BD5D">
            <wp:simplePos x="0" y="0"/>
            <wp:positionH relativeFrom="page">
              <wp:posOffset>0</wp:posOffset>
            </wp:positionH>
            <wp:positionV relativeFrom="page">
              <wp:posOffset>10179685</wp:posOffset>
            </wp:positionV>
            <wp:extent cx="7444105" cy="366395"/>
            <wp:effectExtent l="0" t="0" r="4445" b="0"/>
            <wp:wrapTopAndBottom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4105" cy="3663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06DDF">
        <w:t>AVIS de MARCH</w:t>
      </w:r>
      <w:r w:rsidR="00B0783A">
        <w:t>E</w:t>
      </w:r>
    </w:p>
    <w:p w14:paraId="79E1DF7F" w14:textId="77777777" w:rsidR="00606DDF" w:rsidRDefault="00606DDF" w:rsidP="00606DDF">
      <w:pPr>
        <w:jc w:val="center"/>
        <w:rPr>
          <w:b/>
        </w:rPr>
      </w:pPr>
    </w:p>
    <w:p w14:paraId="6948124E" w14:textId="61A547D6" w:rsidR="00FE47DD" w:rsidRDefault="00EE0939" w:rsidP="00FE47DD">
      <w:pPr>
        <w:ind w:left="-142"/>
        <w:jc w:val="center"/>
        <w:rPr>
          <w:rFonts w:cs="Arial"/>
          <w:b/>
          <w:color w:val="000000"/>
          <w:sz w:val="28"/>
          <w:szCs w:val="28"/>
        </w:rPr>
      </w:pPr>
      <w:r>
        <w:rPr>
          <w:rFonts w:cs="Arial"/>
          <w:b/>
          <w:color w:val="000000"/>
          <w:sz w:val="28"/>
          <w:szCs w:val="28"/>
        </w:rPr>
        <w:t>20</w:t>
      </w:r>
      <w:r w:rsidR="007846F9">
        <w:rPr>
          <w:rFonts w:cs="Arial"/>
          <w:b/>
          <w:color w:val="000000"/>
          <w:sz w:val="28"/>
          <w:szCs w:val="28"/>
        </w:rPr>
        <w:t>23</w:t>
      </w:r>
      <w:r>
        <w:rPr>
          <w:rFonts w:cs="Arial"/>
          <w:b/>
          <w:color w:val="000000"/>
          <w:sz w:val="28"/>
          <w:szCs w:val="28"/>
        </w:rPr>
        <w:t>_00</w:t>
      </w:r>
      <w:r w:rsidR="007846F9">
        <w:rPr>
          <w:rFonts w:cs="Arial"/>
          <w:b/>
          <w:color w:val="000000"/>
          <w:sz w:val="28"/>
          <w:szCs w:val="28"/>
        </w:rPr>
        <w:t>5</w:t>
      </w:r>
      <w:r w:rsidR="00B0783A" w:rsidRPr="00161B45">
        <w:rPr>
          <w:rFonts w:cs="Arial"/>
          <w:b/>
          <w:color w:val="000000"/>
          <w:sz w:val="28"/>
          <w:szCs w:val="28"/>
        </w:rPr>
        <w:t xml:space="preserve"> </w:t>
      </w:r>
    </w:p>
    <w:p w14:paraId="0CF32E41" w14:textId="77777777" w:rsidR="00B86ED3" w:rsidRDefault="00B0783A" w:rsidP="00B0783A">
      <w:pPr>
        <w:jc w:val="center"/>
        <w:rPr>
          <w:rFonts w:cs="Arial"/>
          <w:b/>
          <w:color w:val="000000"/>
          <w:sz w:val="28"/>
          <w:szCs w:val="28"/>
        </w:rPr>
      </w:pPr>
      <w:r w:rsidRPr="00161B45">
        <w:rPr>
          <w:rFonts w:cs="Arial"/>
          <w:b/>
          <w:color w:val="000000"/>
          <w:sz w:val="28"/>
          <w:szCs w:val="28"/>
        </w:rPr>
        <w:t>Prest</w:t>
      </w:r>
      <w:r w:rsidR="00250DB6">
        <w:rPr>
          <w:rFonts w:cs="Arial"/>
          <w:b/>
          <w:color w:val="000000"/>
          <w:sz w:val="28"/>
          <w:szCs w:val="28"/>
        </w:rPr>
        <w:t>ations</w:t>
      </w:r>
      <w:r w:rsidR="00EE0939">
        <w:rPr>
          <w:rFonts w:cs="Arial"/>
          <w:b/>
          <w:color w:val="000000"/>
          <w:sz w:val="28"/>
          <w:szCs w:val="28"/>
        </w:rPr>
        <w:t xml:space="preserve"> de services pour la location d’hélicoptères avec équipage</w:t>
      </w:r>
    </w:p>
    <w:p w14:paraId="68422703" w14:textId="77777777" w:rsidR="008F1F1F" w:rsidRDefault="008F1F1F" w:rsidP="00B0783A">
      <w:pPr>
        <w:jc w:val="center"/>
      </w:pPr>
    </w:p>
    <w:p w14:paraId="4CDF8F28" w14:textId="77777777" w:rsidR="00B86ED3" w:rsidRDefault="00B86ED3"/>
    <w:p w14:paraId="3783CF0B" w14:textId="77777777" w:rsidR="00B86ED3" w:rsidRDefault="00606DDF">
      <w:pPr>
        <w:pStyle w:val="Titre1"/>
      </w:pPr>
      <w:r>
        <w:t>Pouvoir adjudicateur</w:t>
      </w:r>
    </w:p>
    <w:p w14:paraId="56AAA6D8" w14:textId="77777777" w:rsidR="0087125C" w:rsidRPr="00D219E0" w:rsidRDefault="0087125C" w:rsidP="0087125C">
      <w:pPr>
        <w:pStyle w:val="Pieddepage"/>
        <w:rPr>
          <w:b/>
        </w:rPr>
      </w:pPr>
      <w:r w:rsidRPr="00D219E0">
        <w:rPr>
          <w:b/>
        </w:rPr>
        <w:t>Parc amazonien de Guyane</w:t>
      </w:r>
    </w:p>
    <w:p w14:paraId="6BCFA21B" w14:textId="77777777" w:rsidR="0087125C" w:rsidRDefault="00250DB6" w:rsidP="0087125C">
      <w:pPr>
        <w:pStyle w:val="Pieddepage"/>
      </w:pPr>
      <w:r>
        <w:t>1 rue de la canne à sucre</w:t>
      </w:r>
      <w:r w:rsidR="0087125C" w:rsidRPr="002132E6">
        <w:t xml:space="preserve">, </w:t>
      </w:r>
    </w:p>
    <w:p w14:paraId="178AC665" w14:textId="77777777" w:rsidR="0087125C" w:rsidRPr="002132E6" w:rsidRDefault="0087125C" w:rsidP="0087125C">
      <w:pPr>
        <w:pStyle w:val="Pieddepage"/>
      </w:pPr>
      <w:r>
        <w:t xml:space="preserve">97354 </w:t>
      </w:r>
      <w:r w:rsidRPr="002132E6">
        <w:t>Rémire-Montjoly</w:t>
      </w:r>
    </w:p>
    <w:p w14:paraId="41E9C96A" w14:textId="77777777" w:rsidR="0087125C" w:rsidRPr="002132E6" w:rsidRDefault="0087125C" w:rsidP="0087125C">
      <w:pPr>
        <w:pStyle w:val="Pieddepage"/>
      </w:pPr>
      <w:r w:rsidRPr="002132E6">
        <w:t>Téléphone : 0594 29 12 52</w:t>
      </w:r>
    </w:p>
    <w:p w14:paraId="40E0AE3E" w14:textId="77777777" w:rsidR="0087125C" w:rsidRPr="002132E6" w:rsidRDefault="0087125C" w:rsidP="0087125C">
      <w:pPr>
        <w:pStyle w:val="Pieddepage"/>
      </w:pPr>
      <w:r w:rsidRPr="002132E6">
        <w:t>Télécopie : 0594 29 26 58</w:t>
      </w:r>
    </w:p>
    <w:p w14:paraId="068945FC" w14:textId="77777777" w:rsidR="0087125C" w:rsidRPr="0087125C" w:rsidRDefault="0087125C" w:rsidP="0087125C"/>
    <w:p w14:paraId="5B4E96A2" w14:textId="77777777" w:rsidR="00606DDF" w:rsidRDefault="00606DDF" w:rsidP="00606DDF">
      <w:pPr>
        <w:pStyle w:val="Titre1"/>
      </w:pPr>
      <w:r>
        <w:t>Procédure de passation</w:t>
      </w:r>
    </w:p>
    <w:p w14:paraId="70F5A6A1" w14:textId="77777777" w:rsidR="00250DB6" w:rsidRPr="009F7D9D" w:rsidRDefault="00250DB6" w:rsidP="00250DB6">
      <w:pPr>
        <w:pStyle w:val="En-tte"/>
        <w:tabs>
          <w:tab w:val="clear" w:pos="4536"/>
          <w:tab w:val="clear" w:pos="9072"/>
        </w:tabs>
        <w:ind w:left="0"/>
        <w:jc w:val="left"/>
        <w:rPr>
          <w:rFonts w:ascii="Arial" w:hAnsi="Arial" w:cs="Arial"/>
          <w:bCs/>
          <w:sz w:val="18"/>
          <w:szCs w:val="18"/>
        </w:rPr>
      </w:pPr>
      <w:r w:rsidRPr="009F7D9D">
        <w:rPr>
          <w:rFonts w:ascii="Arial" w:hAnsi="Arial" w:cs="Arial"/>
          <w:sz w:val="18"/>
          <w:szCs w:val="18"/>
        </w:rPr>
        <w:t xml:space="preserve">Procédure d’appel d’offres ouvert en application des articles </w:t>
      </w:r>
      <w:r w:rsidRPr="009F7D9D">
        <w:rPr>
          <w:rFonts w:ascii="Arial" w:hAnsi="Arial" w:cs="Arial"/>
          <w:bCs/>
          <w:sz w:val="18"/>
          <w:szCs w:val="18"/>
        </w:rPr>
        <w:t xml:space="preserve">L 1111-4, L 2124-2, L 2125-1 1°, </w:t>
      </w:r>
      <w:r w:rsidRPr="009F7D9D">
        <w:rPr>
          <w:rFonts w:ascii="Arial" w:hAnsi="Arial" w:cs="Arial"/>
          <w:sz w:val="18"/>
          <w:szCs w:val="18"/>
        </w:rPr>
        <w:t>R 2113-</w:t>
      </w:r>
      <w:proofErr w:type="gramStart"/>
      <w:r w:rsidRPr="009F7D9D">
        <w:rPr>
          <w:rFonts w:ascii="Arial" w:hAnsi="Arial" w:cs="Arial"/>
          <w:sz w:val="18"/>
          <w:szCs w:val="18"/>
        </w:rPr>
        <w:t>3,  R</w:t>
      </w:r>
      <w:proofErr w:type="gramEnd"/>
      <w:r w:rsidRPr="009F7D9D">
        <w:rPr>
          <w:rFonts w:ascii="Arial" w:hAnsi="Arial" w:cs="Arial"/>
          <w:sz w:val="18"/>
          <w:szCs w:val="18"/>
        </w:rPr>
        <w:t xml:space="preserve"> 2124-2, </w:t>
      </w:r>
      <w:r w:rsidRPr="009F7D9D">
        <w:rPr>
          <w:rFonts w:ascii="Arial" w:hAnsi="Arial" w:cs="Arial"/>
          <w:bCs/>
          <w:sz w:val="18"/>
          <w:szCs w:val="18"/>
        </w:rPr>
        <w:t xml:space="preserve">R 2161-2 à R 2161-5, R 2162-1 à R 2162-6, R 2162-13 et R 2162-14  du Code de la commande publique, </w:t>
      </w:r>
    </w:p>
    <w:p w14:paraId="1B067044" w14:textId="77777777" w:rsidR="00250DB6" w:rsidRDefault="00250DB6" w:rsidP="00606DDF">
      <w:pPr>
        <w:rPr>
          <w:rFonts w:cs="Arial"/>
          <w:color w:val="000000"/>
          <w:szCs w:val="20"/>
        </w:rPr>
      </w:pPr>
    </w:p>
    <w:p w14:paraId="610DAB41" w14:textId="71AC8B27" w:rsidR="00606DDF" w:rsidRDefault="00250DB6" w:rsidP="00606DDF">
      <w:pPr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Il s’agit d’un marché de services passé selon la technique d’achat de l’a</w:t>
      </w:r>
      <w:r w:rsidR="00B0783A" w:rsidRPr="005E4081">
        <w:rPr>
          <w:rFonts w:cs="Arial"/>
          <w:color w:val="000000"/>
          <w:szCs w:val="20"/>
        </w:rPr>
        <w:t>ccord-cadre à bons de commande sans min</w:t>
      </w:r>
      <w:r>
        <w:rPr>
          <w:rFonts w:cs="Arial"/>
          <w:color w:val="000000"/>
          <w:szCs w:val="20"/>
        </w:rPr>
        <w:t>i</w:t>
      </w:r>
      <w:r w:rsidR="007846F9">
        <w:rPr>
          <w:rFonts w:cs="Arial"/>
          <w:color w:val="000000"/>
          <w:szCs w:val="20"/>
        </w:rPr>
        <w:t xml:space="preserve"> – avec </w:t>
      </w:r>
      <w:r>
        <w:rPr>
          <w:rFonts w:cs="Arial"/>
          <w:color w:val="000000"/>
          <w:szCs w:val="20"/>
        </w:rPr>
        <w:t xml:space="preserve">maxi </w:t>
      </w:r>
      <w:r w:rsidR="007846F9">
        <w:rPr>
          <w:rFonts w:cs="Arial"/>
          <w:color w:val="000000"/>
          <w:szCs w:val="20"/>
        </w:rPr>
        <w:t>multi</w:t>
      </w:r>
      <w:r>
        <w:rPr>
          <w:rFonts w:cs="Arial"/>
          <w:color w:val="000000"/>
          <w:szCs w:val="20"/>
        </w:rPr>
        <w:t>-attributaire.</w:t>
      </w:r>
    </w:p>
    <w:p w14:paraId="646FD28C" w14:textId="77777777" w:rsidR="00B0783A" w:rsidRDefault="00B0783A" w:rsidP="00606DDF"/>
    <w:p w14:paraId="30ED4151" w14:textId="77777777" w:rsidR="00945FEB" w:rsidRPr="001A0F27" w:rsidRDefault="00606DDF" w:rsidP="001A0F27">
      <w:pPr>
        <w:pStyle w:val="Titre1"/>
      </w:pPr>
      <w:r>
        <w:t>Objet de la consultation</w:t>
      </w:r>
      <w:r w:rsidR="00C03F6F">
        <w:t xml:space="preserve"> – Lieu d’exécution</w:t>
      </w:r>
    </w:p>
    <w:p w14:paraId="18EF8EF4" w14:textId="03633CDA" w:rsidR="006D6421" w:rsidRPr="00B208C0" w:rsidRDefault="006D6421" w:rsidP="006D6421">
      <w:pPr>
        <w:rPr>
          <w:rFonts w:cs="Arial"/>
        </w:rPr>
      </w:pPr>
      <w:r w:rsidRPr="00B208C0">
        <w:rPr>
          <w:rFonts w:cs="Arial"/>
          <w:noProof/>
        </w:rPr>
        <w:t xml:space="preserve">Il s’agit de prestations de service pour la location d’hélicoptères mono-turbine avec équipage pour les missions des personnels du Parc Amazonien de Guyane (PAG), ou des </w:t>
      </w:r>
      <w:proofErr w:type="gramStart"/>
      <w:r w:rsidRPr="00B208C0">
        <w:rPr>
          <w:rFonts w:cs="Arial"/>
          <w:noProof/>
        </w:rPr>
        <w:t xml:space="preserve">personnes </w:t>
      </w:r>
      <w:r w:rsidRPr="00B208C0">
        <w:rPr>
          <w:rFonts w:cs="Arial"/>
        </w:rPr>
        <w:t xml:space="preserve"> porteuses</w:t>
      </w:r>
      <w:proofErr w:type="gramEnd"/>
      <w:r w:rsidRPr="00B208C0">
        <w:rPr>
          <w:rFonts w:cs="Arial"/>
        </w:rPr>
        <w:t xml:space="preserve"> d’un ordre de tournée ou mission rédigé et signé  par leur structure d’appartenance dans le cadre d’un projet commun, ou les personnels non agents du PAG mais missionnés par celui-ci sur la base d’une décision du directeur.</w:t>
      </w:r>
    </w:p>
    <w:p w14:paraId="394BE7E7" w14:textId="77777777" w:rsidR="00EE0939" w:rsidRPr="00B93031" w:rsidRDefault="00EE0939" w:rsidP="00EE0939">
      <w:pPr>
        <w:rPr>
          <w:noProof/>
        </w:rPr>
      </w:pPr>
    </w:p>
    <w:p w14:paraId="300C6AC7" w14:textId="77777777" w:rsidR="00EE0939" w:rsidRPr="00B93031" w:rsidRDefault="00EE0939" w:rsidP="00EE0939">
      <w:r w:rsidRPr="00B93031">
        <w:t xml:space="preserve">La description des prestations est précisée dans le Cahier des Clauses Techniques Particulières (CCTP). </w:t>
      </w:r>
    </w:p>
    <w:p w14:paraId="6769104F" w14:textId="77777777" w:rsidR="00EE0939" w:rsidRPr="00B93031" w:rsidRDefault="00EE0939" w:rsidP="00EE0939">
      <w:pPr>
        <w:rPr>
          <w:noProof/>
        </w:rPr>
      </w:pPr>
    </w:p>
    <w:p w14:paraId="44A3937F" w14:textId="77777777" w:rsidR="00EE0939" w:rsidRPr="00B93031" w:rsidRDefault="00EE0939" w:rsidP="00EE0939">
      <w:pPr>
        <w:rPr>
          <w:noProof/>
        </w:rPr>
      </w:pPr>
      <w:r w:rsidRPr="00B93031">
        <w:rPr>
          <w:b/>
          <w:noProof/>
        </w:rPr>
        <w:t>Lieu d’exécution</w:t>
      </w:r>
      <w:r w:rsidRPr="00B93031">
        <w:rPr>
          <w:noProof/>
        </w:rPr>
        <w:t> : tout le territoire de la Guyane, et plus particulièrement le territoire sud Guyane (communes de Maripasoula, Camopi, Saül, Papaïchton et St Elie).</w:t>
      </w:r>
    </w:p>
    <w:p w14:paraId="525E3F16" w14:textId="77777777" w:rsidR="001A0F27" w:rsidRDefault="001A0F27" w:rsidP="001A0F27"/>
    <w:p w14:paraId="04A70191" w14:textId="77777777" w:rsidR="001A0F27" w:rsidRDefault="001A0F27" w:rsidP="001A0F27">
      <w:pPr>
        <w:pStyle w:val="Titre1"/>
      </w:pPr>
      <w:r>
        <w:t>Décomposition de la prestation</w:t>
      </w:r>
    </w:p>
    <w:p w14:paraId="15F3D199" w14:textId="77777777" w:rsidR="001A0F27" w:rsidRDefault="001A0F27" w:rsidP="001A0F27">
      <w:pPr>
        <w:jc w:val="both"/>
      </w:pPr>
      <w:r w:rsidRPr="00733E67">
        <w:t>Le marché n’est pas alloti au sens des articles L2113-11 et R2113-2 du Code de la comma</w:t>
      </w:r>
      <w:r w:rsidR="00A66D16">
        <w:t>nde publique 32, au motif </w:t>
      </w:r>
      <w:proofErr w:type="gramStart"/>
      <w:r w:rsidR="00A66D16">
        <w:t>que:</w:t>
      </w:r>
      <w:proofErr w:type="gramEnd"/>
      <w:r w:rsidR="00A66D16">
        <w:t xml:space="preserve"> l</w:t>
      </w:r>
      <w:r w:rsidRPr="00733E67">
        <w:t xml:space="preserve">a dévolution en lots séparés risque de rendre techniquement et financièrement plus coûteuse l’exécution des prestations. </w:t>
      </w:r>
    </w:p>
    <w:p w14:paraId="45BC9DB8" w14:textId="77777777" w:rsidR="00945FEB" w:rsidRDefault="00945FEB" w:rsidP="00945FEB">
      <w:pPr>
        <w:autoSpaceDE w:val="0"/>
        <w:autoSpaceDN w:val="0"/>
        <w:adjustRightInd w:val="0"/>
        <w:ind w:left="117" w:right="111"/>
        <w:jc w:val="both"/>
        <w:rPr>
          <w:rFonts w:cs="Arial"/>
          <w:color w:val="000000"/>
          <w:sz w:val="16"/>
          <w:szCs w:val="16"/>
        </w:rPr>
      </w:pPr>
    </w:p>
    <w:p w14:paraId="6FFB6C17" w14:textId="77777777" w:rsidR="001A0F27" w:rsidRDefault="001A0F27" w:rsidP="001A0F27">
      <w:pPr>
        <w:pStyle w:val="Titre1"/>
      </w:pPr>
      <w:r>
        <w:t>Nomenclature communautaire</w:t>
      </w:r>
    </w:p>
    <w:p w14:paraId="1B6E9CCD" w14:textId="77777777" w:rsidR="00EE0939" w:rsidRDefault="00EE0939" w:rsidP="00EE0939">
      <w:pPr>
        <w:rPr>
          <w:noProof/>
        </w:rPr>
      </w:pPr>
      <w:r w:rsidRPr="00A351F6">
        <w:rPr>
          <w:noProof/>
        </w:rPr>
        <w:t>La classification principale et complémentaire conformes au vocabulaire commun des marchés européens (CPV), est :</w:t>
      </w:r>
      <w:bookmarkStart w:id="0" w:name="_Toc421357962"/>
      <w:r>
        <w:rPr>
          <w:noProof/>
        </w:rPr>
        <w:t xml:space="preserve"> </w:t>
      </w:r>
    </w:p>
    <w:p w14:paraId="7D82346B" w14:textId="77777777" w:rsidR="00EE0939" w:rsidRDefault="00EE0939" w:rsidP="00EE0939">
      <w:pPr>
        <w:rPr>
          <w:noProof/>
        </w:rPr>
      </w:pPr>
    </w:p>
    <w:p w14:paraId="0721E5CF" w14:textId="77777777" w:rsidR="00EE0939" w:rsidRPr="00A351F6" w:rsidRDefault="00EE0939" w:rsidP="00EE0939">
      <w:pPr>
        <w:rPr>
          <w:b/>
          <w:noProof/>
        </w:rPr>
      </w:pPr>
      <w:r w:rsidRPr="00A351F6">
        <w:rPr>
          <w:b/>
        </w:rPr>
        <w:t>60424120-3 : location d’hélicoptères avec équipage</w:t>
      </w:r>
      <w:bookmarkEnd w:id="0"/>
      <w:r w:rsidRPr="00A351F6">
        <w:rPr>
          <w:b/>
        </w:rPr>
        <w:t xml:space="preserve"> </w:t>
      </w:r>
    </w:p>
    <w:p w14:paraId="3A79F045" w14:textId="77777777" w:rsidR="001A0F27" w:rsidRDefault="001A0F27" w:rsidP="00606DDF"/>
    <w:p w14:paraId="73035823" w14:textId="77777777" w:rsidR="00606DDF" w:rsidRDefault="00606DDF" w:rsidP="00606DDF">
      <w:pPr>
        <w:pStyle w:val="Titre1"/>
      </w:pPr>
      <w:r>
        <w:t>Variantes</w:t>
      </w:r>
    </w:p>
    <w:p w14:paraId="62592515" w14:textId="77777777" w:rsidR="003C03B3" w:rsidRDefault="003C03B3" w:rsidP="003C03B3">
      <w:r w:rsidRPr="003C03B3">
        <w:t>Les variantes ne sont pas autorisées</w:t>
      </w:r>
    </w:p>
    <w:p w14:paraId="10F085E7" w14:textId="77777777" w:rsidR="00A65FCD" w:rsidRDefault="00A65FCD" w:rsidP="003C03B3"/>
    <w:p w14:paraId="764D9847" w14:textId="77777777" w:rsidR="00C732A6" w:rsidRDefault="00C732A6" w:rsidP="003C03B3"/>
    <w:p w14:paraId="19D7BFD3" w14:textId="77777777" w:rsidR="00606DDF" w:rsidRDefault="007D0A09" w:rsidP="00606DDF">
      <w:pPr>
        <w:pStyle w:val="Titre1"/>
      </w:pPr>
      <w:r>
        <w:lastRenderedPageBreak/>
        <w:t>Durée du marché</w:t>
      </w:r>
    </w:p>
    <w:p w14:paraId="04E6C804" w14:textId="77777777" w:rsidR="007D0A09" w:rsidRDefault="007D0A09" w:rsidP="007D0A09">
      <w:pPr>
        <w:rPr>
          <w:lang w:eastAsia="en-US"/>
        </w:rPr>
      </w:pPr>
      <w:r w:rsidRPr="002132E6">
        <w:rPr>
          <w:lang w:eastAsia="en-US"/>
        </w:rPr>
        <w:t xml:space="preserve">Le marché est conclu pour une période </w:t>
      </w:r>
      <w:r>
        <w:rPr>
          <w:lang w:eastAsia="en-US"/>
        </w:rPr>
        <w:t>d’une année</w:t>
      </w:r>
      <w:r w:rsidRPr="002132E6">
        <w:rPr>
          <w:lang w:eastAsia="en-US"/>
        </w:rPr>
        <w:t xml:space="preserve"> à compter </w:t>
      </w:r>
      <w:r>
        <w:rPr>
          <w:lang w:eastAsia="en-US"/>
        </w:rPr>
        <w:t xml:space="preserve">de sa notification. </w:t>
      </w:r>
    </w:p>
    <w:p w14:paraId="2493E412" w14:textId="77777777" w:rsidR="007D0A09" w:rsidRPr="002132E6" w:rsidRDefault="007D0A09" w:rsidP="007D0A09">
      <w:pPr>
        <w:rPr>
          <w:lang w:eastAsia="en-US"/>
        </w:rPr>
      </w:pPr>
    </w:p>
    <w:p w14:paraId="58A15D3B" w14:textId="77777777" w:rsidR="007D0A09" w:rsidRDefault="007D0A09" w:rsidP="007D0A09">
      <w:pPr>
        <w:rPr>
          <w:lang w:eastAsia="en-US"/>
        </w:rPr>
      </w:pPr>
      <w:r w:rsidRPr="002132E6">
        <w:rPr>
          <w:lang w:eastAsia="en-US"/>
        </w:rPr>
        <w:t xml:space="preserve">Il pourra être renouvelé </w:t>
      </w:r>
      <w:r>
        <w:rPr>
          <w:lang w:eastAsia="en-US"/>
        </w:rPr>
        <w:t>trois (3)</w:t>
      </w:r>
      <w:r w:rsidRPr="002132E6">
        <w:rPr>
          <w:lang w:eastAsia="en-US"/>
        </w:rPr>
        <w:t xml:space="preserve"> fois annuellement par le pouvoir adjudicateur, par reconducti</w:t>
      </w:r>
      <w:r w:rsidR="00A65FCD">
        <w:rPr>
          <w:lang w:eastAsia="en-US"/>
        </w:rPr>
        <w:t>on expresse.</w:t>
      </w:r>
    </w:p>
    <w:p w14:paraId="41828058" w14:textId="77777777" w:rsidR="00606DDF" w:rsidRDefault="00606DDF" w:rsidP="00606DDF"/>
    <w:p w14:paraId="468276A0" w14:textId="77777777" w:rsidR="00606DDF" w:rsidRDefault="00606DDF" w:rsidP="00606DDF">
      <w:pPr>
        <w:pStyle w:val="Titre1"/>
      </w:pPr>
      <w:r>
        <w:t>Justificatifs à produire : Conditions de participation</w:t>
      </w:r>
    </w:p>
    <w:p w14:paraId="160DBCFB" w14:textId="77777777" w:rsidR="00A47C9F" w:rsidRPr="00A47C9F" w:rsidRDefault="00745F99" w:rsidP="00A47C9F">
      <w:r>
        <w:t>Cf. règlement de la Consultation</w:t>
      </w:r>
    </w:p>
    <w:p w14:paraId="2817AF65" w14:textId="77777777" w:rsidR="00606DDF" w:rsidRDefault="00606DDF" w:rsidP="00606DDF"/>
    <w:p w14:paraId="2FB070BC" w14:textId="77777777" w:rsidR="00606DDF" w:rsidRDefault="00606DDF" w:rsidP="00606DDF">
      <w:pPr>
        <w:pStyle w:val="Titre1"/>
      </w:pPr>
      <w:r>
        <w:t xml:space="preserve">Critères de jugement </w:t>
      </w:r>
    </w:p>
    <w:p w14:paraId="1EE1BB3C" w14:textId="77777777" w:rsidR="00745F99" w:rsidRDefault="00745F99" w:rsidP="00745F99">
      <w:r>
        <w:t>Les offres seront jugées en fonctio</w:t>
      </w:r>
      <w:r w:rsidR="00FC192F">
        <w:t>n des critères de prix et de valeur technique des offres, dont le détail et la pondération sont précisées dans les documents de la consultation.</w:t>
      </w:r>
    </w:p>
    <w:p w14:paraId="54D8A597" w14:textId="77777777" w:rsidR="00606DDF" w:rsidRDefault="00606DDF" w:rsidP="00606DDF"/>
    <w:p w14:paraId="165585EC" w14:textId="77777777" w:rsidR="00606DDF" w:rsidRDefault="00606DDF" w:rsidP="00606DDF">
      <w:pPr>
        <w:pStyle w:val="Titre1"/>
      </w:pPr>
      <w:r>
        <w:t>Modalités de financement / Paiement</w:t>
      </w:r>
    </w:p>
    <w:p w14:paraId="69FF7012" w14:textId="77777777" w:rsidR="00720AD5" w:rsidRPr="00720AD5" w:rsidRDefault="00720AD5" w:rsidP="00720AD5">
      <w:r>
        <w:t>Cf. document de consultation</w:t>
      </w:r>
    </w:p>
    <w:p w14:paraId="077B4B5E" w14:textId="77777777" w:rsidR="00606DDF" w:rsidRDefault="00606DDF" w:rsidP="00606DDF"/>
    <w:p w14:paraId="20070D0C" w14:textId="77777777" w:rsidR="00606DDF" w:rsidRDefault="00606DDF" w:rsidP="00606DDF">
      <w:pPr>
        <w:pStyle w:val="Titre1"/>
      </w:pPr>
      <w:r>
        <w:t>Lieu où l’on peut retirer le dossier de consultation</w:t>
      </w:r>
    </w:p>
    <w:p w14:paraId="498C4C2B" w14:textId="77777777" w:rsidR="00AD0B27" w:rsidRPr="00543F94" w:rsidRDefault="00A65FCD" w:rsidP="00AD0B27">
      <w:pPr>
        <w:jc w:val="both"/>
        <w:rPr>
          <w:noProof/>
        </w:rPr>
      </w:pPr>
      <w:r>
        <w:rPr>
          <w:noProof/>
        </w:rPr>
        <w:t>L</w:t>
      </w:r>
      <w:r w:rsidR="00AD0B27" w:rsidRPr="00F45858">
        <w:rPr>
          <w:noProof/>
        </w:rPr>
        <w:t>e dossier de consultation des entreprises est dématérialisé.</w:t>
      </w:r>
    </w:p>
    <w:p w14:paraId="2652DA0D" w14:textId="77777777" w:rsidR="003F6F54" w:rsidRDefault="00AD0B27" w:rsidP="00AD0B27">
      <w:pPr>
        <w:jc w:val="both"/>
      </w:pPr>
      <w:r w:rsidRPr="00543F94">
        <w:t xml:space="preserve">Les candidats auront la possibilité de télécharger </w:t>
      </w:r>
      <w:r w:rsidR="00A65FCD">
        <w:t xml:space="preserve">gratuitement </w:t>
      </w:r>
      <w:r w:rsidRPr="00543F94">
        <w:t>les documents dématérialisés du dossie</w:t>
      </w:r>
      <w:r>
        <w:t>r de consultation</w:t>
      </w:r>
      <w:r w:rsidR="00575EE7">
        <w:t xml:space="preserve"> via la plate-f</w:t>
      </w:r>
      <w:r w:rsidR="00A65FCD">
        <w:t>orme des achats de l’état PLACE, à l’adresse suivante :</w:t>
      </w:r>
    </w:p>
    <w:p w14:paraId="5C6D28FB" w14:textId="77777777" w:rsidR="00606DDF" w:rsidRDefault="00606DDF" w:rsidP="00606DDF"/>
    <w:p w14:paraId="1CD1262D" w14:textId="7BAD2A50" w:rsidR="009773AB" w:rsidRDefault="007015F5" w:rsidP="009773AB">
      <w:pPr>
        <w:widowControl/>
        <w:suppressAutoHyphens w:val="0"/>
        <w:rPr>
          <w:rFonts w:ascii="Times New Roman" w:eastAsia="Times New Roman" w:hAnsi="Times New Roman" w:cs="Times New Roman"/>
          <w:kern w:val="0"/>
          <w:sz w:val="24"/>
          <w:lang w:eastAsia="fr-FR" w:bidi="ar-SA"/>
        </w:rPr>
      </w:pPr>
      <w:hyperlink r:id="rId10" w:history="1">
        <w:r w:rsidR="009773AB" w:rsidRPr="009773AB">
          <w:rPr>
            <w:rStyle w:val="Lienhypertexte"/>
            <w:rFonts w:ascii="Times New Roman" w:eastAsia="Times New Roman" w:hAnsi="Times New Roman" w:cs="Times New Roman"/>
            <w:kern w:val="0"/>
            <w:sz w:val="24"/>
            <w:lang w:eastAsia="fr-FR" w:bidi="ar-SA"/>
          </w:rPr>
          <w:t>https://www.marches-publics.gouv.fr/?page=Entreprise.EntrepriseAdvancedSearch&amp;AllCons&amp;id=2342984&amp;orgAcronyme=d4t</w:t>
        </w:r>
      </w:hyperlink>
    </w:p>
    <w:p w14:paraId="2934BD50" w14:textId="77777777" w:rsidR="009773AB" w:rsidRDefault="009773AB" w:rsidP="00606DDF"/>
    <w:p w14:paraId="62CA1CFE" w14:textId="77777777" w:rsidR="00606DDF" w:rsidRDefault="00606DDF" w:rsidP="00606DDF">
      <w:pPr>
        <w:pStyle w:val="Titre1"/>
      </w:pPr>
      <w:r>
        <w:t>Date limite de réception des offres</w:t>
      </w:r>
    </w:p>
    <w:p w14:paraId="08037A3A" w14:textId="77777777" w:rsidR="00094509" w:rsidRDefault="00094509" w:rsidP="00094509"/>
    <w:p w14:paraId="7E4184E9" w14:textId="0C947F21" w:rsidR="00094509" w:rsidRPr="00094509" w:rsidRDefault="009773AB" w:rsidP="00094509">
      <w:pPr>
        <w:rPr>
          <w:b/>
          <w:bCs/>
        </w:rPr>
      </w:pPr>
      <w:r>
        <w:rPr>
          <w:b/>
          <w:bCs/>
        </w:rPr>
        <w:t xml:space="preserve">Jeudi 10 </w:t>
      </w:r>
      <w:r w:rsidR="0039054C">
        <w:rPr>
          <w:b/>
          <w:bCs/>
        </w:rPr>
        <w:t>a</w:t>
      </w:r>
      <w:bookmarkStart w:id="1" w:name="_GoBack"/>
      <w:bookmarkEnd w:id="1"/>
      <w:r>
        <w:rPr>
          <w:b/>
          <w:bCs/>
        </w:rPr>
        <w:t>oût 2023 à 9h (heure de Guyane) – 14h (heure de métropole)</w:t>
      </w:r>
    </w:p>
    <w:p w14:paraId="3934AADA" w14:textId="77777777" w:rsidR="00606DDF" w:rsidRDefault="00606DDF" w:rsidP="00606DDF"/>
    <w:p w14:paraId="348B37E6" w14:textId="77777777" w:rsidR="00606DDF" w:rsidRDefault="00606DDF" w:rsidP="00606DDF">
      <w:pPr>
        <w:pStyle w:val="Titre1"/>
      </w:pPr>
      <w:r>
        <w:t>Délai de validité des offres</w:t>
      </w:r>
    </w:p>
    <w:p w14:paraId="5BEC5010" w14:textId="77777777" w:rsidR="00CC6A87" w:rsidRDefault="00CC6A87" w:rsidP="00CC6A87">
      <w:r w:rsidRPr="00F66073">
        <w:t xml:space="preserve">Le délai de validité des offres est de </w:t>
      </w:r>
      <w:r w:rsidR="00FE47DD">
        <w:t>120</w:t>
      </w:r>
      <w:r w:rsidRPr="00574D6B">
        <w:t xml:space="preserve"> jours.</w:t>
      </w:r>
    </w:p>
    <w:p w14:paraId="13C86A08" w14:textId="77777777" w:rsidR="00CC6A87" w:rsidRDefault="00CC6A87" w:rsidP="00CC6A87"/>
    <w:p w14:paraId="0A985DD2" w14:textId="77777777" w:rsidR="00606DDF" w:rsidRDefault="00606DDF" w:rsidP="00606DDF">
      <w:pPr>
        <w:pStyle w:val="Titre1"/>
      </w:pPr>
      <w:r>
        <w:t>Renseignements d’ordre administratifs et techniques</w:t>
      </w:r>
    </w:p>
    <w:p w14:paraId="1253FB83" w14:textId="77777777" w:rsidR="00FE47DD" w:rsidRPr="00A65FCD" w:rsidRDefault="00FE47DD" w:rsidP="00606DDF">
      <w:pPr>
        <w:rPr>
          <w:b/>
        </w:rPr>
      </w:pPr>
      <w:r w:rsidRPr="00FE47DD">
        <w:rPr>
          <w:b/>
        </w:rPr>
        <w:t>Cf. RC.</w:t>
      </w:r>
    </w:p>
    <w:p w14:paraId="3AE4893C" w14:textId="77777777" w:rsidR="00FE47DD" w:rsidRDefault="00FE47DD" w:rsidP="00606DDF"/>
    <w:p w14:paraId="6C71A8EC" w14:textId="77777777" w:rsidR="00606DDF" w:rsidRDefault="00606DDF" w:rsidP="00606DDF">
      <w:pPr>
        <w:pStyle w:val="Titre1"/>
      </w:pPr>
      <w:r>
        <w:t>Procédure de recours</w:t>
      </w:r>
    </w:p>
    <w:p w14:paraId="5F6A55AD" w14:textId="77777777" w:rsidR="00F373D9" w:rsidRPr="006D0953" w:rsidRDefault="00F373D9" w:rsidP="00F373D9">
      <w:pPr>
        <w:rPr>
          <w:b/>
        </w:rPr>
      </w:pPr>
      <w:r w:rsidRPr="006D0953">
        <w:rPr>
          <w:b/>
        </w:rPr>
        <w:t xml:space="preserve">Instance chargée des procédures de recours : </w:t>
      </w:r>
    </w:p>
    <w:p w14:paraId="0D65B614" w14:textId="77777777" w:rsidR="00EE0939" w:rsidRPr="004A5DCD" w:rsidRDefault="00EE0939" w:rsidP="00EE0939">
      <w:r w:rsidRPr="004A5DCD">
        <w:t xml:space="preserve">Tribunal Administratif de Cayenne </w:t>
      </w:r>
    </w:p>
    <w:p w14:paraId="1206C3C8" w14:textId="77777777" w:rsidR="00EE0939" w:rsidRDefault="00EE0939" w:rsidP="00EE0939">
      <w:pPr>
        <w:rPr>
          <w:szCs w:val="20"/>
        </w:rPr>
      </w:pPr>
      <w:r w:rsidRPr="004A5DCD">
        <w:rPr>
          <w:shd w:val="clear" w:color="auto" w:fill="FFFFFF"/>
        </w:rPr>
        <w:t>7, rue Schoelcher</w:t>
      </w:r>
      <w:r>
        <w:t xml:space="preserve">   </w:t>
      </w:r>
      <w:r w:rsidRPr="004A5DCD">
        <w:rPr>
          <w:shd w:val="clear" w:color="auto" w:fill="FFFFFF"/>
        </w:rPr>
        <w:t>B.P. 5030</w:t>
      </w:r>
      <w:r>
        <w:t xml:space="preserve">   </w:t>
      </w:r>
      <w:r w:rsidRPr="004A5DCD">
        <w:rPr>
          <w:shd w:val="clear" w:color="auto" w:fill="FFFFFF"/>
        </w:rPr>
        <w:t>97305 Cayenne Cedex</w:t>
      </w:r>
      <w:r w:rsidRPr="004A5DCD">
        <w:br/>
      </w:r>
      <w:r w:rsidRPr="004A5DCD">
        <w:rPr>
          <w:shd w:val="clear" w:color="auto" w:fill="FFFFFF"/>
        </w:rPr>
        <w:t>Tel. 05 94 25 49 70</w:t>
      </w:r>
      <w:r w:rsidRPr="004A5DCD">
        <w:br/>
      </w:r>
      <w:r w:rsidRPr="004A5DCD">
        <w:rPr>
          <w:shd w:val="clear" w:color="auto" w:fill="FFFFFF"/>
        </w:rPr>
        <w:t>Télécopie : 05 94 25 49 71</w:t>
      </w:r>
      <w:r w:rsidRPr="004A5DCD">
        <w:br/>
      </w:r>
      <w:r w:rsidRPr="001D31D8">
        <w:rPr>
          <w:shd w:val="clear" w:color="auto" w:fill="FFFFFF"/>
        </w:rPr>
        <w:t>Courriel :</w:t>
      </w:r>
      <w:r w:rsidRPr="001D31D8">
        <w:rPr>
          <w:rStyle w:val="apple-converted-space"/>
          <w:rFonts w:eastAsia="Arial Unicode MS"/>
          <w:color w:val="333333"/>
          <w:sz w:val="24"/>
          <w:shd w:val="clear" w:color="auto" w:fill="FFFFFF"/>
        </w:rPr>
        <w:t> </w:t>
      </w:r>
      <w:hyperlink r:id="rId11" w:tgtFrame="_self" w:history="1">
        <w:r w:rsidRPr="001D31D8">
          <w:rPr>
            <w:rStyle w:val="Lienhypertexte"/>
            <w:iCs/>
            <w:szCs w:val="20"/>
          </w:rPr>
          <w:t>greffe.ta-cayenne@juradm.fr</w:t>
        </w:r>
      </w:hyperlink>
    </w:p>
    <w:p w14:paraId="059E6380" w14:textId="77777777" w:rsidR="00606DDF" w:rsidRPr="00606DDF" w:rsidRDefault="00606DDF" w:rsidP="00606DDF"/>
    <w:p w14:paraId="285BE843" w14:textId="77777777" w:rsidR="00606DDF" w:rsidRDefault="00606DDF" w:rsidP="00606DDF"/>
    <w:sectPr w:rsidR="00606DDF" w:rsidSect="00FE47D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993" w:right="850" w:bottom="1530" w:left="1134" w:header="720" w:footer="3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71D5CC" w14:textId="77777777" w:rsidR="007015F5" w:rsidRDefault="007015F5">
      <w:r>
        <w:separator/>
      </w:r>
    </w:p>
  </w:endnote>
  <w:endnote w:type="continuationSeparator" w:id="0">
    <w:p w14:paraId="1DE40520" w14:textId="77777777" w:rsidR="007015F5" w:rsidRDefault="00701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Univers">
    <w:altName w:val="Arial"/>
    <w:panose1 w:val="020B0604020202020204"/>
    <w:charset w:val="00"/>
    <w:family w:val="swiss"/>
    <w:pitch w:val="variable"/>
    <w:sig w:usb0="80000287" w:usb1="00000000" w:usb2="00000000" w:usb3="00000000" w:csb0="0000000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4D528D" w14:textId="77777777" w:rsidR="0039054C" w:rsidRDefault="0039054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E6F6D3" w14:textId="77777777" w:rsidR="00B86ED3" w:rsidRDefault="007A24C0">
    <w:pPr>
      <w:pStyle w:val="Coordonnes"/>
    </w:pPr>
    <w:r>
      <w:t>2019_006_Avis de marché _ V2</w:t>
    </w:r>
  </w:p>
  <w:p w14:paraId="7397EDDE" w14:textId="77777777" w:rsidR="00B86ED3" w:rsidRDefault="00B86ED3">
    <w:pPr>
      <w:pStyle w:val="Coordonnes"/>
    </w:pPr>
  </w:p>
  <w:p w14:paraId="268D492C" w14:textId="77777777" w:rsidR="00B86ED3" w:rsidRDefault="00B86ED3">
    <w:pPr>
      <w:pStyle w:val="Coordonnes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5799D2" w14:textId="77777777" w:rsidR="0039054C" w:rsidRDefault="0039054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AB9281" w14:textId="77777777" w:rsidR="007015F5" w:rsidRDefault="007015F5">
      <w:r>
        <w:separator/>
      </w:r>
    </w:p>
  </w:footnote>
  <w:footnote w:type="continuationSeparator" w:id="0">
    <w:p w14:paraId="63A3D8A5" w14:textId="77777777" w:rsidR="007015F5" w:rsidRDefault="007015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AE8C5" w14:textId="77777777" w:rsidR="0039054C" w:rsidRDefault="0039054C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800712" w14:textId="77777777" w:rsidR="0039054C" w:rsidRDefault="0039054C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6799D0" w14:textId="77777777" w:rsidR="0039054C" w:rsidRDefault="0039054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Titre1"/>
      <w:suff w:val="space"/>
      <w:lvlText w:val="%1."/>
      <w:lvlJc w:val="left"/>
      <w:pPr>
        <w:tabs>
          <w:tab w:val="num" w:pos="0"/>
        </w:tabs>
        <w:ind w:left="340" w:hanging="340"/>
      </w:pPr>
    </w:lvl>
    <w:lvl w:ilvl="1">
      <w:start w:val="1"/>
      <w:numFmt w:val="decimal"/>
      <w:pStyle w:val="Titre2"/>
      <w:suff w:val="space"/>
      <w:lvlText w:val="%1.%2"/>
      <w:lvlJc w:val="left"/>
      <w:pPr>
        <w:tabs>
          <w:tab w:val="num" w:pos="0"/>
        </w:tabs>
        <w:ind w:left="765" w:hanging="425"/>
      </w:pPr>
    </w:lvl>
    <w:lvl w:ilvl="2">
      <w:start w:val="1"/>
      <w:numFmt w:val="lowerLetter"/>
      <w:pStyle w:val="Titre3"/>
      <w:suff w:val="space"/>
      <w:lvlText w:val="%3)"/>
      <w:lvlJc w:val="left"/>
      <w:pPr>
        <w:tabs>
          <w:tab w:val="num" w:pos="0"/>
        </w:tabs>
        <w:ind w:left="1134" w:hanging="227"/>
      </w:pPr>
    </w:lvl>
    <w:lvl w:ilvl="3">
      <w:start w:val="1"/>
      <w:numFmt w:val="none"/>
      <w:pStyle w:val="Titre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itre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Titre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Titre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Puce 1"/>
    <w:lvl w:ilvl="0">
      <w:start w:val="1"/>
      <w:numFmt w:val="bullet"/>
      <w:suff w:val="space"/>
      <w:lvlText w:val=""/>
      <w:lvlJc w:val="left"/>
      <w:pPr>
        <w:tabs>
          <w:tab w:val="num" w:pos="0"/>
        </w:tabs>
        <w:ind w:left="737" w:hanging="170"/>
      </w:pPr>
      <w:rPr>
        <w:rFonts w:ascii="Symbol" w:hAnsi="Symbol" w:cs="OpenSymbol"/>
      </w:rPr>
    </w:lvl>
    <w:lvl w:ilvl="1">
      <w:start w:val="1"/>
      <w:numFmt w:val="bullet"/>
      <w:suff w:val="space"/>
      <w:lvlText w:val="-"/>
      <w:lvlJc w:val="left"/>
      <w:pPr>
        <w:tabs>
          <w:tab w:val="num" w:pos="0"/>
        </w:tabs>
        <w:ind w:left="850" w:hanging="113"/>
      </w:pPr>
      <w:rPr>
        <w:rFonts w:ascii="Arial" w:hAnsi="Arial"/>
      </w:rPr>
    </w:lvl>
    <w:lvl w:ilvl="2">
      <w:start w:val="1"/>
      <w:numFmt w:val="bullet"/>
      <w:suff w:val="space"/>
      <w:lvlText w:val=""/>
      <w:lvlJc w:val="left"/>
      <w:pPr>
        <w:tabs>
          <w:tab w:val="num" w:pos="0"/>
        </w:tabs>
        <w:ind w:left="1474" w:hanging="624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907"/>
        </w:tabs>
        <w:ind w:left="907" w:hanging="227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361"/>
        </w:tabs>
        <w:ind w:left="1361" w:hanging="227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1587"/>
        </w:tabs>
        <w:ind w:left="1587" w:hanging="227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1814"/>
        </w:tabs>
        <w:ind w:left="1814" w:hanging="227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041"/>
        </w:tabs>
        <w:ind w:left="2041" w:hanging="227"/>
      </w:pPr>
      <w:rPr>
        <w:rFonts w:ascii="Symbol" w:hAnsi="Symbol" w:cs="OpenSymbol"/>
      </w:rPr>
    </w:lvl>
  </w:abstractNum>
  <w:abstractNum w:abstractNumId="2" w15:restartNumberingAfterBreak="0">
    <w:nsid w:val="068E232F"/>
    <w:multiLevelType w:val="hybridMultilevel"/>
    <w:tmpl w:val="FEF0F3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9C5C28"/>
    <w:multiLevelType w:val="hybridMultilevel"/>
    <w:tmpl w:val="6A3CDC6C"/>
    <w:lvl w:ilvl="0" w:tplc="2E944214">
      <w:numFmt w:val="bullet"/>
      <w:lvlText w:val="-"/>
      <w:lvlJc w:val="left"/>
      <w:pPr>
        <w:ind w:left="1069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2A763415"/>
    <w:multiLevelType w:val="hybridMultilevel"/>
    <w:tmpl w:val="91A26B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E07FD3"/>
    <w:multiLevelType w:val="hybridMultilevel"/>
    <w:tmpl w:val="132CEAA8"/>
    <w:lvl w:ilvl="0" w:tplc="2E94421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FA0C4C90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</w:rPr>
    </w:lvl>
    <w:lvl w:ilvl="2" w:tplc="FB8CF186">
      <w:start w:val="4"/>
      <w:numFmt w:val="bullet"/>
      <w:lvlText w:val=""/>
      <w:lvlJc w:val="left"/>
      <w:pPr>
        <w:ind w:left="2160" w:hanging="360"/>
      </w:pPr>
      <w:rPr>
        <w:rFonts w:ascii="Wingdings" w:eastAsia="Times New Roman" w:hAnsi="Wingdings" w:cs="Calibri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617DC9"/>
    <w:multiLevelType w:val="hybridMultilevel"/>
    <w:tmpl w:val="CA1C0C7C"/>
    <w:lvl w:ilvl="0" w:tplc="FB8CF186">
      <w:start w:val="4"/>
      <w:numFmt w:val="bullet"/>
      <w:lvlText w:val=""/>
      <w:lvlJc w:val="left"/>
      <w:pPr>
        <w:ind w:left="1428" w:hanging="360"/>
      </w:pPr>
      <w:rPr>
        <w:rFonts w:ascii="Wingdings" w:eastAsia="Times New Roman" w:hAnsi="Wingdings" w:cs="Calibri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573438F5"/>
    <w:multiLevelType w:val="hybridMultilevel"/>
    <w:tmpl w:val="80AE3606"/>
    <w:lvl w:ilvl="0" w:tplc="2E944214">
      <w:numFmt w:val="bullet"/>
      <w:lvlText w:val="-"/>
      <w:lvlJc w:val="left"/>
      <w:pPr>
        <w:ind w:left="1069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7184240A"/>
    <w:multiLevelType w:val="hybridMultilevel"/>
    <w:tmpl w:val="934A03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DC09C58">
      <w:start w:val="3"/>
      <w:numFmt w:val="bullet"/>
      <w:lvlText w:val="-"/>
      <w:lvlJc w:val="left"/>
      <w:pPr>
        <w:ind w:left="1440" w:hanging="360"/>
      </w:pPr>
      <w:rPr>
        <w:rFonts w:ascii="Calibri" w:eastAsiaTheme="minorHAnsi" w:hAnsi="Calibri" w:cs="Arial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DB2278"/>
    <w:multiLevelType w:val="hybridMultilevel"/>
    <w:tmpl w:val="82D0F404"/>
    <w:lvl w:ilvl="0" w:tplc="FA0C4C9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FB8CF186">
      <w:start w:val="4"/>
      <w:numFmt w:val="bullet"/>
      <w:lvlText w:val=""/>
      <w:lvlJc w:val="left"/>
      <w:pPr>
        <w:ind w:left="1440" w:hanging="360"/>
      </w:pPr>
      <w:rPr>
        <w:rFonts w:ascii="Wingdings" w:eastAsia="Times New Roman" w:hAnsi="Wingdings" w:cs="Calibri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441813"/>
    <w:multiLevelType w:val="hybridMultilevel"/>
    <w:tmpl w:val="6C4625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5"/>
  </w:num>
  <w:num w:numId="5">
    <w:abstractNumId w:val="6"/>
  </w:num>
  <w:num w:numId="6">
    <w:abstractNumId w:val="8"/>
  </w:num>
  <w:num w:numId="7">
    <w:abstractNumId w:val="3"/>
  </w:num>
  <w:num w:numId="8">
    <w:abstractNumId w:val="7"/>
  </w:num>
  <w:num w:numId="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DDF"/>
    <w:rsid w:val="0001430E"/>
    <w:rsid w:val="00094509"/>
    <w:rsid w:val="000A6705"/>
    <w:rsid w:val="000B242B"/>
    <w:rsid w:val="000C5199"/>
    <w:rsid w:val="000E6157"/>
    <w:rsid w:val="00117F6B"/>
    <w:rsid w:val="00164152"/>
    <w:rsid w:val="001A0F27"/>
    <w:rsid w:val="001A4105"/>
    <w:rsid w:val="00250DB6"/>
    <w:rsid w:val="0029538D"/>
    <w:rsid w:val="002B2091"/>
    <w:rsid w:val="002E653E"/>
    <w:rsid w:val="0039054C"/>
    <w:rsid w:val="00397E12"/>
    <w:rsid w:val="003C03B3"/>
    <w:rsid w:val="003F6F54"/>
    <w:rsid w:val="00496063"/>
    <w:rsid w:val="004A4435"/>
    <w:rsid w:val="004F6A39"/>
    <w:rsid w:val="00575EE7"/>
    <w:rsid w:val="00596517"/>
    <w:rsid w:val="005E3F40"/>
    <w:rsid w:val="00606DDF"/>
    <w:rsid w:val="00612040"/>
    <w:rsid w:val="006202E0"/>
    <w:rsid w:val="00636DBE"/>
    <w:rsid w:val="006D6421"/>
    <w:rsid w:val="007015F5"/>
    <w:rsid w:val="00720AD5"/>
    <w:rsid w:val="00726DDB"/>
    <w:rsid w:val="00745F99"/>
    <w:rsid w:val="007846F9"/>
    <w:rsid w:val="007A24C0"/>
    <w:rsid w:val="007B225A"/>
    <w:rsid w:val="007D0A09"/>
    <w:rsid w:val="007E13AB"/>
    <w:rsid w:val="00801CFD"/>
    <w:rsid w:val="00834345"/>
    <w:rsid w:val="008455B5"/>
    <w:rsid w:val="0087125C"/>
    <w:rsid w:val="00895878"/>
    <w:rsid w:val="008F1F1F"/>
    <w:rsid w:val="008F7585"/>
    <w:rsid w:val="00904EF6"/>
    <w:rsid w:val="00945FEB"/>
    <w:rsid w:val="009773AB"/>
    <w:rsid w:val="009B197A"/>
    <w:rsid w:val="009F35C1"/>
    <w:rsid w:val="00A47C9F"/>
    <w:rsid w:val="00A540C5"/>
    <w:rsid w:val="00A65FCD"/>
    <w:rsid w:val="00A66D16"/>
    <w:rsid w:val="00AD0B27"/>
    <w:rsid w:val="00B0783A"/>
    <w:rsid w:val="00B86ED3"/>
    <w:rsid w:val="00C03F6F"/>
    <w:rsid w:val="00C2279D"/>
    <w:rsid w:val="00C36D5D"/>
    <w:rsid w:val="00C6107A"/>
    <w:rsid w:val="00C732A6"/>
    <w:rsid w:val="00C90570"/>
    <w:rsid w:val="00CC6A87"/>
    <w:rsid w:val="00CD5E35"/>
    <w:rsid w:val="00CE37B8"/>
    <w:rsid w:val="00D145E2"/>
    <w:rsid w:val="00D463AC"/>
    <w:rsid w:val="00D62722"/>
    <w:rsid w:val="00D7711D"/>
    <w:rsid w:val="00E52DF5"/>
    <w:rsid w:val="00ED4BC3"/>
    <w:rsid w:val="00EE0939"/>
    <w:rsid w:val="00EE38CD"/>
    <w:rsid w:val="00F373D9"/>
    <w:rsid w:val="00FC192F"/>
    <w:rsid w:val="00FC7505"/>
    <w:rsid w:val="00FE4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,"/>
  <w14:docId w14:val="08B0579E"/>
  <w15:docId w15:val="{7A4A8E2F-4B2B-4BBE-A881-8CA2A74EA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86ED3"/>
    <w:pPr>
      <w:widowControl w:val="0"/>
      <w:suppressAutoHyphens/>
    </w:pPr>
    <w:rPr>
      <w:rFonts w:ascii="Arial" w:eastAsia="SimSun" w:hAnsi="Arial" w:cs="Mangal"/>
      <w:kern w:val="1"/>
      <w:szCs w:val="24"/>
      <w:lang w:eastAsia="hi-IN" w:bidi="hi-IN"/>
    </w:rPr>
  </w:style>
  <w:style w:type="paragraph" w:styleId="Titre1">
    <w:name w:val="heading 1"/>
    <w:next w:val="Normal"/>
    <w:qFormat/>
    <w:rsid w:val="00B86ED3"/>
    <w:pPr>
      <w:numPr>
        <w:numId w:val="1"/>
      </w:numPr>
      <w:suppressLineNumbers/>
      <w:spacing w:after="113"/>
      <w:ind w:left="0" w:firstLine="0"/>
      <w:outlineLvl w:val="0"/>
    </w:pPr>
    <w:rPr>
      <w:rFonts w:ascii="Arial" w:eastAsia="SimSun" w:hAnsi="Arial" w:cs="Mangal"/>
      <w:b/>
      <w:bCs/>
      <w:color w:val="C70008"/>
      <w:kern w:val="1"/>
      <w:sz w:val="28"/>
      <w:szCs w:val="28"/>
      <w:lang w:eastAsia="hi-IN" w:bidi="hi-IN"/>
    </w:rPr>
  </w:style>
  <w:style w:type="paragraph" w:styleId="Titre2">
    <w:name w:val="heading 2"/>
    <w:basedOn w:val="Titre1"/>
    <w:next w:val="Normal"/>
    <w:qFormat/>
    <w:rsid w:val="00B86ED3"/>
    <w:pPr>
      <w:numPr>
        <w:ilvl w:val="1"/>
      </w:numPr>
      <w:ind w:left="0" w:firstLine="0"/>
      <w:outlineLvl w:val="1"/>
    </w:pPr>
    <w:rPr>
      <w:iCs/>
      <w:sz w:val="24"/>
    </w:rPr>
  </w:style>
  <w:style w:type="paragraph" w:styleId="Titre3">
    <w:name w:val="heading 3"/>
    <w:basedOn w:val="Titre2"/>
    <w:next w:val="Normal"/>
    <w:qFormat/>
    <w:rsid w:val="00B86ED3"/>
    <w:pPr>
      <w:numPr>
        <w:ilvl w:val="2"/>
      </w:numPr>
      <w:outlineLvl w:val="2"/>
    </w:pPr>
    <w:rPr>
      <w:sz w:val="20"/>
      <w:u w:val="single" w:color="C70008"/>
    </w:rPr>
  </w:style>
  <w:style w:type="paragraph" w:styleId="Titre4">
    <w:name w:val="heading 4"/>
    <w:basedOn w:val="Titre10"/>
    <w:next w:val="Corpsdetexte"/>
    <w:qFormat/>
    <w:rsid w:val="00B86ED3"/>
    <w:pPr>
      <w:numPr>
        <w:ilvl w:val="3"/>
        <w:numId w:val="1"/>
      </w:numPr>
      <w:outlineLvl w:val="3"/>
    </w:pPr>
    <w:rPr>
      <w:bCs/>
      <w:i/>
      <w:iCs/>
      <w:sz w:val="34"/>
      <w:szCs w:val="24"/>
    </w:rPr>
  </w:style>
  <w:style w:type="paragraph" w:styleId="Titre5">
    <w:name w:val="heading 5"/>
    <w:basedOn w:val="Titre10"/>
    <w:next w:val="Corpsdetexte"/>
    <w:qFormat/>
    <w:rsid w:val="00B86ED3"/>
    <w:pPr>
      <w:numPr>
        <w:ilvl w:val="4"/>
        <w:numId w:val="1"/>
      </w:numPr>
      <w:outlineLvl w:val="4"/>
    </w:pPr>
    <w:rPr>
      <w:bCs/>
      <w:sz w:val="34"/>
      <w:szCs w:val="24"/>
    </w:rPr>
  </w:style>
  <w:style w:type="paragraph" w:styleId="Titre6">
    <w:name w:val="heading 6"/>
    <w:basedOn w:val="Titre10"/>
    <w:next w:val="Corpsdetexte"/>
    <w:qFormat/>
    <w:rsid w:val="00B86ED3"/>
    <w:pPr>
      <w:numPr>
        <w:ilvl w:val="5"/>
        <w:numId w:val="1"/>
      </w:numPr>
      <w:outlineLvl w:val="5"/>
    </w:pPr>
    <w:rPr>
      <w:bCs/>
      <w:sz w:val="30"/>
      <w:szCs w:val="21"/>
    </w:rPr>
  </w:style>
  <w:style w:type="paragraph" w:styleId="Titre7">
    <w:name w:val="heading 7"/>
    <w:basedOn w:val="Titre10"/>
    <w:next w:val="Corpsdetexte"/>
    <w:qFormat/>
    <w:rsid w:val="00B86ED3"/>
    <w:pPr>
      <w:numPr>
        <w:ilvl w:val="6"/>
        <w:numId w:val="1"/>
      </w:numPr>
      <w:outlineLvl w:val="6"/>
    </w:pPr>
    <w:rPr>
      <w:bCs/>
      <w:sz w:val="30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C">
    <w:name w:val="Titre C"/>
    <w:rsid w:val="00B86ED3"/>
    <w:rPr>
      <w:b/>
      <w:color w:val="C70008"/>
      <w:sz w:val="20"/>
      <w:u w:val="single"/>
    </w:rPr>
  </w:style>
  <w:style w:type="character" w:customStyle="1" w:styleId="TitreA">
    <w:name w:val="Titre A"/>
    <w:rsid w:val="00B86ED3"/>
    <w:rPr>
      <w:b/>
      <w:color w:val="C70008"/>
      <w:sz w:val="28"/>
    </w:rPr>
  </w:style>
  <w:style w:type="character" w:customStyle="1" w:styleId="TitreB">
    <w:name w:val="Titre B"/>
    <w:rsid w:val="00B86ED3"/>
    <w:rPr>
      <w:b/>
      <w:color w:val="C70008"/>
      <w:sz w:val="24"/>
    </w:rPr>
  </w:style>
  <w:style w:type="character" w:styleId="Numrodeligne">
    <w:name w:val="line number"/>
    <w:rsid w:val="00B86ED3"/>
  </w:style>
  <w:style w:type="character" w:customStyle="1" w:styleId="Caractresdenumrotation">
    <w:name w:val="Caractères de numérotation"/>
    <w:rsid w:val="00B86ED3"/>
  </w:style>
  <w:style w:type="character" w:customStyle="1" w:styleId="Puces">
    <w:name w:val="Puces"/>
    <w:rsid w:val="00B86ED3"/>
    <w:rPr>
      <w:rFonts w:ascii="OpenSymbol" w:eastAsia="OpenSymbol" w:hAnsi="OpenSymbol" w:cs="OpenSymbol"/>
    </w:rPr>
  </w:style>
  <w:style w:type="character" w:customStyle="1" w:styleId="Caractresdenotedebasdepage">
    <w:name w:val="Caractères de note de bas de page"/>
    <w:rsid w:val="00B86ED3"/>
  </w:style>
  <w:style w:type="character" w:styleId="Appelnotedebasdep">
    <w:name w:val="footnote reference"/>
    <w:rsid w:val="00B86ED3"/>
    <w:rPr>
      <w:vertAlign w:val="superscript"/>
    </w:rPr>
  </w:style>
  <w:style w:type="character" w:customStyle="1" w:styleId="Caractresdenotedefin">
    <w:name w:val="Caractères de note de fin"/>
    <w:rsid w:val="00B86ED3"/>
  </w:style>
  <w:style w:type="character" w:styleId="Appeldenotedefin">
    <w:name w:val="endnote reference"/>
    <w:rsid w:val="00B86ED3"/>
    <w:rPr>
      <w:vertAlign w:val="superscript"/>
    </w:rPr>
  </w:style>
  <w:style w:type="character" w:styleId="Lienhypertexte">
    <w:name w:val="Hyperlink"/>
    <w:uiPriority w:val="99"/>
    <w:rsid w:val="00B86ED3"/>
    <w:rPr>
      <w:color w:val="000080"/>
      <w:u w:val="single"/>
    </w:rPr>
  </w:style>
  <w:style w:type="character" w:customStyle="1" w:styleId="textemisenavant">
    <w:name w:val="texte mis en avant"/>
    <w:rsid w:val="00B86ED3"/>
    <w:rPr>
      <w:b/>
      <w:color w:val="C70008"/>
    </w:rPr>
  </w:style>
  <w:style w:type="paragraph" w:customStyle="1" w:styleId="Titre10">
    <w:name w:val="Titre1"/>
    <w:basedOn w:val="Normal"/>
    <w:next w:val="Corpsdetexte"/>
    <w:rsid w:val="00B86ED3"/>
    <w:pPr>
      <w:keepNext/>
      <w:spacing w:after="567"/>
      <w:jc w:val="center"/>
    </w:pPr>
    <w:rPr>
      <w:rFonts w:eastAsia="Microsoft YaHei"/>
      <w:b/>
      <w:color w:val="C70008"/>
      <w:sz w:val="40"/>
      <w:szCs w:val="28"/>
    </w:rPr>
  </w:style>
  <w:style w:type="paragraph" w:styleId="Corpsdetexte">
    <w:name w:val="Body Text"/>
    <w:basedOn w:val="Normal"/>
    <w:rsid w:val="00B86ED3"/>
    <w:pPr>
      <w:spacing w:after="120"/>
    </w:pPr>
  </w:style>
  <w:style w:type="paragraph" w:styleId="Liste">
    <w:name w:val="List"/>
    <w:basedOn w:val="Corpsdetexte"/>
    <w:rsid w:val="00B86ED3"/>
  </w:style>
  <w:style w:type="paragraph" w:customStyle="1" w:styleId="Lgende1">
    <w:name w:val="Légende1"/>
    <w:basedOn w:val="Normal"/>
    <w:rsid w:val="00B86ED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B86ED3"/>
    <w:pPr>
      <w:suppressLineNumbers/>
    </w:pPr>
  </w:style>
  <w:style w:type="paragraph" w:styleId="Pieddepage">
    <w:name w:val="footer"/>
    <w:basedOn w:val="Normal"/>
    <w:link w:val="PieddepageCar"/>
    <w:rsid w:val="00B86ED3"/>
    <w:pPr>
      <w:suppressLineNumbers/>
      <w:tabs>
        <w:tab w:val="center" w:pos="4819"/>
        <w:tab w:val="right" w:pos="9638"/>
      </w:tabs>
    </w:pPr>
  </w:style>
  <w:style w:type="paragraph" w:customStyle="1" w:styleId="Contenuducadre">
    <w:name w:val="Contenu du cadre"/>
    <w:basedOn w:val="Corpsdetexte"/>
    <w:rsid w:val="00B86ED3"/>
    <w:rPr>
      <w:color w:val="FFFFFF"/>
    </w:rPr>
  </w:style>
  <w:style w:type="paragraph" w:styleId="Notedebasdepage">
    <w:name w:val="footnote text"/>
    <w:rsid w:val="00B86ED3"/>
    <w:pPr>
      <w:widowControl w:val="0"/>
      <w:suppressLineNumbers/>
      <w:ind w:left="170" w:hanging="170"/>
    </w:pPr>
    <w:rPr>
      <w:rFonts w:ascii="Arial" w:eastAsia="SimSun" w:hAnsi="Arial" w:cs="Mangal"/>
      <w:color w:val="635A32"/>
      <w:kern w:val="1"/>
      <w:sz w:val="16"/>
      <w:lang w:eastAsia="hi-IN" w:bidi="hi-IN"/>
    </w:rPr>
  </w:style>
  <w:style w:type="paragraph" w:styleId="Notedefin">
    <w:name w:val="endnote text"/>
    <w:basedOn w:val="Normal"/>
    <w:rsid w:val="00B86ED3"/>
    <w:pPr>
      <w:suppressLineNumbers/>
      <w:ind w:left="283" w:hanging="283"/>
    </w:pPr>
    <w:rPr>
      <w:szCs w:val="20"/>
    </w:rPr>
  </w:style>
  <w:style w:type="paragraph" w:customStyle="1" w:styleId="Coordonnes">
    <w:name w:val="Coordonnées"/>
    <w:basedOn w:val="Normal"/>
    <w:rsid w:val="00B86ED3"/>
    <w:rPr>
      <w:color w:val="000000"/>
      <w:sz w:val="16"/>
    </w:rPr>
  </w:style>
  <w:style w:type="paragraph" w:customStyle="1" w:styleId="RedTitre1">
    <w:name w:val="RedTitre1"/>
    <w:basedOn w:val="Normal"/>
    <w:rsid w:val="00606DDF"/>
    <w:pPr>
      <w:keepLines/>
      <w:framePr w:hSpace="142" w:wrap="auto" w:vAnchor="text" w:hAnchor="text" w:xAlign="center" w:y="1"/>
      <w:suppressAutoHyphens w:val="0"/>
      <w:autoSpaceDE w:val="0"/>
      <w:autoSpaceDN w:val="0"/>
      <w:adjustRightInd w:val="0"/>
      <w:jc w:val="center"/>
    </w:pPr>
    <w:rPr>
      <w:rFonts w:eastAsia="Times New Roman" w:cs="Arial"/>
      <w:b/>
      <w:kern w:val="0"/>
      <w:sz w:val="22"/>
      <w:szCs w:val="20"/>
      <w:lang w:eastAsia="fr-FR" w:bidi="ar-SA"/>
    </w:rPr>
  </w:style>
  <w:style w:type="character" w:customStyle="1" w:styleId="PieddepageCar">
    <w:name w:val="Pied de page Car"/>
    <w:basedOn w:val="Policepardfaut"/>
    <w:link w:val="Pieddepage"/>
    <w:rsid w:val="0087125C"/>
    <w:rPr>
      <w:rFonts w:ascii="Arial" w:eastAsia="SimSun" w:hAnsi="Arial" w:cs="Mangal"/>
      <w:kern w:val="1"/>
      <w:szCs w:val="24"/>
      <w:lang w:eastAsia="hi-IN" w:bidi="hi-IN"/>
    </w:rPr>
  </w:style>
  <w:style w:type="paragraph" w:styleId="Sansinterligne">
    <w:name w:val="No Spacing"/>
    <w:link w:val="SansinterligneCar"/>
    <w:uiPriority w:val="1"/>
    <w:qFormat/>
    <w:rsid w:val="00496063"/>
    <w:rPr>
      <w:rFonts w:ascii="Calibri" w:hAnsi="Calibri"/>
      <w:sz w:val="22"/>
      <w:szCs w:val="22"/>
    </w:rPr>
  </w:style>
  <w:style w:type="character" w:customStyle="1" w:styleId="SansinterligneCar">
    <w:name w:val="Sans interligne Car"/>
    <w:link w:val="Sansinterligne"/>
    <w:uiPriority w:val="1"/>
    <w:rsid w:val="00496063"/>
    <w:rPr>
      <w:rFonts w:ascii="Calibri" w:hAnsi="Calibri"/>
      <w:sz w:val="22"/>
      <w:szCs w:val="22"/>
    </w:rPr>
  </w:style>
  <w:style w:type="paragraph" w:customStyle="1" w:styleId="Default">
    <w:name w:val="Default"/>
    <w:rsid w:val="0049606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496063"/>
    <w:pPr>
      <w:ind w:left="720"/>
      <w:contextualSpacing/>
    </w:pPr>
  </w:style>
  <w:style w:type="character" w:styleId="Lienhypertextesuivivisit">
    <w:name w:val="FollowedHyperlink"/>
    <w:basedOn w:val="Policepardfaut"/>
    <w:uiPriority w:val="99"/>
    <w:semiHidden/>
    <w:unhideWhenUsed/>
    <w:rsid w:val="00D145E2"/>
    <w:rPr>
      <w:color w:val="800080" w:themeColor="followedHyperlink"/>
      <w:u w:val="single"/>
    </w:rPr>
  </w:style>
  <w:style w:type="paragraph" w:styleId="En-tte">
    <w:name w:val="header"/>
    <w:basedOn w:val="Normal"/>
    <w:link w:val="En-tteCar"/>
    <w:uiPriority w:val="99"/>
    <w:rsid w:val="00250DB6"/>
    <w:pPr>
      <w:widowControl/>
      <w:tabs>
        <w:tab w:val="center" w:pos="4536"/>
        <w:tab w:val="right" w:pos="9072"/>
      </w:tabs>
      <w:suppressAutoHyphens w:val="0"/>
      <w:spacing w:line="232" w:lineRule="exact"/>
      <w:ind w:left="20" w:right="20"/>
      <w:jc w:val="both"/>
    </w:pPr>
    <w:rPr>
      <w:rFonts w:ascii="Univers" w:eastAsia="Times New Roman" w:hAnsi="Univers" w:cs="Times New Roman"/>
      <w:kern w:val="0"/>
      <w:szCs w:val="20"/>
      <w:lang w:eastAsia="fr-FR" w:bidi="ar-SA"/>
    </w:rPr>
  </w:style>
  <w:style w:type="character" w:customStyle="1" w:styleId="En-tteCar">
    <w:name w:val="En-tête Car"/>
    <w:basedOn w:val="Policepardfaut"/>
    <w:link w:val="En-tte"/>
    <w:uiPriority w:val="99"/>
    <w:rsid w:val="00250DB6"/>
    <w:rPr>
      <w:rFonts w:ascii="Univers" w:hAnsi="Univers"/>
    </w:rPr>
  </w:style>
  <w:style w:type="character" w:customStyle="1" w:styleId="apple-converted-space">
    <w:name w:val="apple-converted-space"/>
    <w:basedOn w:val="Policepardfaut"/>
    <w:rsid w:val="00EE0939"/>
  </w:style>
  <w:style w:type="character" w:styleId="Mentionnonrsolue">
    <w:name w:val="Unresolved Mention"/>
    <w:basedOn w:val="Policepardfaut"/>
    <w:uiPriority w:val="99"/>
    <w:semiHidden/>
    <w:unhideWhenUsed/>
    <w:rsid w:val="009773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85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10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reffe.ta-cayenne@juradm.fr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marches-publics.gouv.fr/?page=Entreprise.EntrepriseAdvancedSearch&amp;AllCons&amp;id=2342984&amp;orgAcronyme=d4t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Z:\02_Mod&#232;les\_Correspondances\modeles%20autres\note%20general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289F5D-E529-E043-B195-692AA21F0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Z:\02_Modèles\_Correspondances\modeles autres\note generale.dotx</Template>
  <TotalTime>1</TotalTime>
  <Pages>2</Pages>
  <Words>546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cborg</dc:creator>
  <cp:lastModifiedBy>Rosane Fayet</cp:lastModifiedBy>
  <cp:revision>2</cp:revision>
  <cp:lastPrinted>2014-12-17T13:26:00Z</cp:lastPrinted>
  <dcterms:created xsi:type="dcterms:W3CDTF">2023-07-11T17:16:00Z</dcterms:created>
  <dcterms:modified xsi:type="dcterms:W3CDTF">2023-07-11T17:16:00Z</dcterms:modified>
</cp:coreProperties>
</file>